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3E6E435D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60ABF" w:rsidRPr="007F2070">
        <w:rPr>
          <w:rFonts w:cs="Arial"/>
          <w:b w:val="0"/>
          <w:bCs/>
          <w:color w:val="000000" w:themeColor="text1"/>
          <w:sz w:val="20"/>
        </w:rPr>
        <w:t>2</w:t>
      </w:r>
      <w:r w:rsidR="00A05E84">
        <w:rPr>
          <w:rFonts w:cs="Arial"/>
          <w:b w:val="0"/>
          <w:bCs/>
          <w:color w:val="000000" w:themeColor="text1"/>
          <w:sz w:val="20"/>
        </w:rPr>
        <w:t>4</w:t>
      </w:r>
      <w:r w:rsidR="00CF07F2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A05E84">
        <w:rPr>
          <w:rFonts w:cs="Arial"/>
          <w:b w:val="0"/>
          <w:bCs/>
          <w:color w:val="000000" w:themeColor="text1"/>
          <w:sz w:val="20"/>
        </w:rPr>
        <w:t>agosto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2022</w:t>
      </w:r>
    </w:p>
    <w:p w14:paraId="4C3C4ACC" w14:textId="77777777" w:rsidR="00BB0C59" w:rsidRPr="007F2070" w:rsidRDefault="00BB0C59" w:rsidP="00A71000">
      <w:pPr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7F2070" w:rsidRDefault="00BB0C59" w:rsidP="00A71000">
      <w:pPr>
        <w:pStyle w:val="Ttulo4"/>
        <w:rPr>
          <w:rFonts w:ascii="Arial" w:hAnsi="Arial" w:cs="Arial"/>
          <w:color w:val="000000" w:themeColor="text1"/>
          <w:sz w:val="20"/>
        </w:rPr>
      </w:pPr>
      <w:r w:rsidRPr="007F207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7F2070" w:rsidRDefault="00BB0C59" w:rsidP="00A71000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7F2070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0D9E1B9" w14:textId="77777777" w:rsidR="004E4D2A" w:rsidRDefault="004E4D2A" w:rsidP="00A71000">
      <w:pPr>
        <w:pStyle w:val="Saludo"/>
        <w:rPr>
          <w:rFonts w:ascii="Arial" w:hAnsi="Arial" w:cs="Arial"/>
          <w:color w:val="000000" w:themeColor="text1"/>
        </w:rPr>
      </w:pPr>
    </w:p>
    <w:p w14:paraId="41B46424" w14:textId="58E19339" w:rsidR="00BB0C59" w:rsidRPr="007F2070" w:rsidRDefault="00BB0C59" w:rsidP="00A71000">
      <w:pPr>
        <w:pStyle w:val="Saludo"/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7F2070" w:rsidRDefault="00BB0C59" w:rsidP="00A71000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6591DEED" w:rsidR="000214B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7F2070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7F2070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7F2070">
        <w:rPr>
          <w:rFonts w:cs="Arial"/>
          <w:bCs/>
          <w:color w:val="000000" w:themeColor="text1"/>
          <w:sz w:val="20"/>
        </w:rPr>
        <w:t>ESPECIAL, AMPLIO Y SUFICIENTE 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>(a)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>extra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 w:rsidRPr="007F2070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7F2070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DC0B89" w:rsidRPr="007F2070">
        <w:rPr>
          <w:rFonts w:cs="Arial"/>
          <w:b w:val="0"/>
          <w:bCs/>
          <w:color w:val="000000" w:themeColor="text1"/>
          <w:sz w:val="20"/>
        </w:rPr>
        <w:t>2</w:t>
      </w:r>
      <w:r w:rsidR="0089782C">
        <w:rPr>
          <w:rFonts w:cs="Arial"/>
          <w:b w:val="0"/>
          <w:bCs/>
          <w:color w:val="000000" w:themeColor="text1"/>
          <w:sz w:val="20"/>
        </w:rPr>
        <w:t>4</w:t>
      </w:r>
      <w:r w:rsidR="000D188F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89782C">
        <w:rPr>
          <w:rFonts w:cs="Arial"/>
          <w:b w:val="0"/>
          <w:bCs/>
          <w:color w:val="000000" w:themeColor="text1"/>
          <w:sz w:val="20"/>
        </w:rPr>
        <w:t>agosto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de 2022, a las </w:t>
      </w:r>
      <w:r w:rsidR="0089782C">
        <w:rPr>
          <w:rFonts w:cs="Arial"/>
          <w:b w:val="0"/>
          <w:bCs/>
          <w:color w:val="000000" w:themeColor="text1"/>
          <w:sz w:val="20"/>
        </w:rPr>
        <w:t>10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7F2070">
        <w:rPr>
          <w:rFonts w:eastAsia="Arial" w:cs="Arial"/>
          <w:color w:val="000000" w:themeColor="text1"/>
          <w:sz w:val="20"/>
        </w:rPr>
        <w:t xml:space="preserve"> 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860189">
        <w:rPr>
          <w:rFonts w:eastAsia="Arial" w:cs="Arial"/>
          <w:b w:val="0"/>
          <w:bCs/>
          <w:color w:val="000000" w:themeColor="text1"/>
          <w:sz w:val="20"/>
        </w:rPr>
        <w:t xml:space="preserve"> Hotel Marriot, calle 1ª Sur #43ª-83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2A78AA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6FA296F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078858A5" w14:textId="21B56541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0751309" w14:textId="77777777" w:rsidR="00C02E89" w:rsidRPr="007F2070" w:rsidRDefault="00C02E8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</w:p>
    <w:p w14:paraId="5BE1BCA9" w14:textId="60CCF239" w:rsidR="0007087F" w:rsidRPr="00E774A5" w:rsidRDefault="00C02E8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Lectura del orden del día </w:t>
      </w:r>
    </w:p>
    <w:p w14:paraId="14C31539" w14:textId="005EE858" w:rsidR="00E774A5" w:rsidRPr="00E774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Elección del </w:t>
      </w:r>
      <w:r w:rsidR="004E4D2A" w:rsidRPr="00E774A5">
        <w:rPr>
          <w:rFonts w:ascii="Arial" w:hAnsi="Arial" w:cs="Arial"/>
          <w:color w:val="000000" w:themeColor="text1"/>
          <w:sz w:val="20"/>
          <w:szCs w:val="20"/>
        </w:rPr>
        <w:t>presidente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="004E4D2A" w:rsidRPr="00E774A5">
        <w:rPr>
          <w:rFonts w:ascii="Arial" w:hAnsi="Arial" w:cs="Arial"/>
          <w:color w:val="000000" w:themeColor="text1"/>
          <w:sz w:val="20"/>
          <w:szCs w:val="20"/>
        </w:rPr>
        <w:t>secretario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de la reunión.</w:t>
      </w:r>
    </w:p>
    <w:p w14:paraId="1B29D787" w14:textId="219499EF" w:rsidR="00E774A5" w:rsidRPr="00E774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7D55BE93" w14:textId="26BCA804" w:rsidR="00E774A5" w:rsidRPr="00397A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 w:rsidR="00397A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31756001" w14:textId="0979E7F8" w:rsidR="00E774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Explicaciones a la asamblea general de accionistas, por parte del revisor</w:t>
      </w:r>
      <w:r w:rsidR="00397A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fiscal de la Compañía, acerca de las salvedades vertidas en su Informe de</w:t>
      </w:r>
      <w:r w:rsidR="00397A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revisión de información financiera intermedia, suscrito el 12 de agosto de</w:t>
      </w:r>
      <w:r w:rsidR="00397A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2022</w:t>
      </w:r>
      <w:r w:rsidR="007914A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5F2EBE1" w14:textId="751F5390" w:rsidR="007914AF" w:rsidRPr="007914A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a partir de qué año EY funge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como revisor fiscal</w:t>
      </w:r>
    </w:p>
    <w:p w14:paraId="6DE8B56B" w14:textId="391736EF" w:rsidR="007914AF" w:rsidRPr="007914A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2016.</w:t>
      </w:r>
    </w:p>
    <w:p w14:paraId="62C4B0AC" w14:textId="1A4BEF59" w:rsidR="007914AF" w:rsidRPr="007914A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2017.</w:t>
      </w:r>
    </w:p>
    <w:p w14:paraId="2A0411D0" w14:textId="2DF177BE" w:rsidR="007914AF" w:rsidRPr="007914A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l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2018.</w:t>
      </w:r>
    </w:p>
    <w:p w14:paraId="0DECBF3F" w14:textId="013FDD81" w:rsidR="007914AF" w:rsidRPr="007914A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2019.</w:t>
      </w:r>
    </w:p>
    <w:p w14:paraId="4A47F510" w14:textId="71545253" w:rsidR="007914AF" w:rsidRPr="007914A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4AF">
        <w:rPr>
          <w:rFonts w:ascii="Arial" w:hAnsi="Arial" w:cs="Arial"/>
          <w:color w:val="000000" w:themeColor="text1"/>
          <w:sz w:val="20"/>
          <w:szCs w:val="20"/>
        </w:rPr>
        <w:t>del año 2020.</w:t>
      </w:r>
    </w:p>
    <w:p w14:paraId="19F2B3A4" w14:textId="544AD2DE" w:rsidR="007914AF" w:rsidRPr="0058759C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EY como revisor fiscal</w:t>
      </w:r>
      <w:r w:rsidR="005875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solicitó a la administración de Grupo Sura S.A. la información sobre lo</w:t>
      </w:r>
      <w:r w:rsidR="0058759C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contratos materiales en los que la Sociedad era parte para el ejercicio</w:t>
      </w:r>
      <w:r w:rsidR="005875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del año 2021.</w:t>
      </w:r>
    </w:p>
    <w:p w14:paraId="2AF5401E" w14:textId="359443A9" w:rsidR="007914AF" w:rsidRPr="00EE0B40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 w:rsidR="005875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>Sura S.A. para el ejercicio del 2016 entregó al revisor fiscal</w:t>
      </w:r>
      <w:r w:rsidR="005875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8759C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58759C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58759C">
        <w:rPr>
          <w:rFonts w:ascii="Arial" w:hAnsi="Arial" w:cs="Arial"/>
          <w:color w:val="000000" w:themeColor="text1"/>
          <w:sz w:val="20"/>
          <w:szCs w:val="20"/>
        </w:rPr>
        <w:t xml:space="preserve"> RE en el </w:t>
      </w:r>
      <w:r w:rsidR="00BC4B26" w:rsidRPr="0058759C">
        <w:rPr>
          <w:rFonts w:ascii="Arial" w:hAnsi="Arial" w:cs="Arial"/>
          <w:color w:val="000000" w:themeColor="text1"/>
          <w:sz w:val="20"/>
          <w:szCs w:val="20"/>
        </w:rPr>
        <w:t>2001,</w:t>
      </w:r>
      <w:r w:rsidR="00BC4B26" w:rsidRPr="00EE0B40">
        <w:rPr>
          <w:rFonts w:ascii="Arial" w:hAnsi="Arial" w:cs="Arial"/>
          <w:color w:val="000000" w:themeColor="text1"/>
          <w:sz w:val="20"/>
          <w:szCs w:val="20"/>
        </w:rPr>
        <w:t xml:space="preserve"> Grupo</w:t>
      </w:r>
      <w:r w:rsidRPr="00EE0B40">
        <w:rPr>
          <w:rFonts w:ascii="Arial" w:hAnsi="Arial" w:cs="Arial"/>
          <w:color w:val="000000" w:themeColor="text1"/>
          <w:sz w:val="20"/>
          <w:szCs w:val="20"/>
        </w:rPr>
        <w:t xml:space="preserve"> Bolívar suscrito en el 2011 y modificado en el 2013 a los que</w:t>
      </w:r>
      <w:r w:rsidR="0079744D" w:rsidRPr="00EE0B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B40">
        <w:rPr>
          <w:rFonts w:ascii="Arial" w:hAnsi="Arial" w:cs="Arial"/>
          <w:color w:val="000000" w:themeColor="text1"/>
          <w:sz w:val="20"/>
          <w:szCs w:val="20"/>
        </w:rPr>
        <w:t>hacen referencia las salvedades presentadas en los estados</w:t>
      </w:r>
      <w:r w:rsidR="0079744D" w:rsidRPr="00EE0B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B40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46BC3FEE" w14:textId="7AB71EA7" w:rsidR="007914AF" w:rsidRPr="00607617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 w:rsidR="007974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744D">
        <w:rPr>
          <w:rFonts w:ascii="Arial" w:hAnsi="Arial" w:cs="Arial"/>
          <w:color w:val="000000" w:themeColor="text1"/>
          <w:sz w:val="20"/>
          <w:szCs w:val="20"/>
        </w:rPr>
        <w:t>Sura S.A. para el ejercicio del 2017 entregó al revisor fiscal</w:t>
      </w:r>
      <w:r w:rsidR="00FB7B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FB7BF5">
        <w:rPr>
          <w:rFonts w:ascii="Arial" w:hAnsi="Arial" w:cs="Arial"/>
          <w:color w:val="000000" w:themeColor="text1"/>
          <w:sz w:val="20"/>
          <w:szCs w:val="20"/>
        </w:rPr>
        <w:lastRenderedPageBreak/>
        <w:t>Munich</w:t>
      </w:r>
      <w:proofErr w:type="spellEnd"/>
      <w:r w:rsidRPr="00FB7BF5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 w:rsidR="00FB7B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a los que</w:t>
      </w:r>
      <w:r w:rsidR="00FB7B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7BF5">
        <w:rPr>
          <w:rFonts w:ascii="Arial" w:hAnsi="Arial" w:cs="Arial"/>
          <w:color w:val="000000" w:themeColor="text1"/>
          <w:sz w:val="20"/>
          <w:szCs w:val="20"/>
        </w:rPr>
        <w:t>hacen referencia las salvedades presentadas en los estados</w:t>
      </w:r>
      <w:r w:rsidR="006076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07617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56B6EE8B" w14:textId="3E3D5CBC" w:rsidR="00EE4469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 w:rsidR="00AD59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Sura S.A. para el ejercicio del 2018 entregó al revisor fiscal</w:t>
      </w:r>
      <w:r w:rsidR="00AD59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AD598B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AD598B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a los que</w:t>
      </w:r>
      <w:r w:rsidR="00AD59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hacen referencia las salvedades presentadas en los estados</w:t>
      </w:r>
      <w:r w:rsidR="00AD59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598B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55670737" w14:textId="6BB5F239" w:rsidR="007914AF" w:rsidRPr="00EE4469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4469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 w:rsidR="00EE4469" w:rsidRPr="00EE44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>Sura S.A. para el ejercicio del 2019 entregó al revisor fiscal</w:t>
      </w:r>
      <w:r w:rsidR="00EE44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 w:rsidR="00EE44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Grupo Bolívar suscrito en el 2011 y modificado en el 2013 y con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Caisse</w:t>
      </w:r>
      <w:proofErr w:type="spellEnd"/>
      <w:r w:rsidR="00EE44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Dèpôt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et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Placement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du </w:t>
      </w:r>
      <w:proofErr w:type="spellStart"/>
      <w:r w:rsidRPr="00EE4469">
        <w:rPr>
          <w:rFonts w:ascii="Arial" w:hAnsi="Arial" w:cs="Arial"/>
          <w:color w:val="000000" w:themeColor="text1"/>
          <w:sz w:val="20"/>
          <w:szCs w:val="20"/>
        </w:rPr>
        <w:t>Québec</w:t>
      </w:r>
      <w:proofErr w:type="spellEnd"/>
      <w:r w:rsidRPr="00EE4469">
        <w:rPr>
          <w:rFonts w:ascii="Arial" w:hAnsi="Arial" w:cs="Arial"/>
          <w:color w:val="000000" w:themeColor="text1"/>
          <w:sz w:val="20"/>
          <w:szCs w:val="20"/>
        </w:rPr>
        <w:t xml:space="preserve"> (“CDPQ”) suscrito en el 2019 a los</w:t>
      </w:r>
      <w:r w:rsidR="00EE44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>que hacen referencia las salvedades presentadas en los estados</w:t>
      </w:r>
      <w:r w:rsidR="00EE44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4469">
        <w:rPr>
          <w:rFonts w:ascii="Arial" w:hAnsi="Arial" w:cs="Arial"/>
          <w:color w:val="000000" w:themeColor="text1"/>
          <w:sz w:val="20"/>
          <w:szCs w:val="20"/>
        </w:rPr>
        <w:t>financieros de Grupo Sura S.A. del primer semestre de 2022.</w:t>
      </w:r>
    </w:p>
    <w:p w14:paraId="12ECA60E" w14:textId="5BDC0099" w:rsidR="007914AF" w:rsidRPr="0046327A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Sura S.A. para el ejercicio del 2020 entregó al revisor fiscal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46327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 y con CDPQ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suscrito en el 2019 a los que hacen referencia las salvedades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presentadas en los estados financieros de Grupo Sura S.A. del primer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semestre de 2022.</w:t>
      </w:r>
    </w:p>
    <w:p w14:paraId="72C9C06F" w14:textId="331F7653" w:rsidR="007914AF" w:rsidRPr="0046327A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si la administración de Grupo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Sura S.A. para el ejercicio del 2021 entregó al revisor fiscal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información sobre los contratos suscritos con </w:t>
      </w:r>
      <w:proofErr w:type="spellStart"/>
      <w:r w:rsidRPr="0046327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6327A">
        <w:rPr>
          <w:rFonts w:ascii="Arial" w:hAnsi="Arial" w:cs="Arial"/>
          <w:color w:val="000000" w:themeColor="text1"/>
          <w:sz w:val="20"/>
          <w:szCs w:val="20"/>
        </w:rPr>
        <w:t xml:space="preserve"> RE en el 2001,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Bolívar suscrito en el 2011 y modificado en el 2013, y con CDPQ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suscrito en el 2019 (en adelante los “Tres Contratos”) a los que hacen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referencia las salvedades presentadas en los estados financieros de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Sura S.A. del primer semestre de 2022.</w:t>
      </w:r>
    </w:p>
    <w:p w14:paraId="0B35EFE1" w14:textId="46A32B64" w:rsidR="007914AF" w:rsidRPr="0046327A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el momento y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circunstancias en que se enteró de los Tres Contratos, suscritos por</w:t>
      </w:r>
      <w:r w:rsidR="004632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27A">
        <w:rPr>
          <w:rFonts w:ascii="Arial" w:hAnsi="Arial" w:cs="Arial"/>
          <w:color w:val="000000" w:themeColor="text1"/>
          <w:sz w:val="20"/>
          <w:szCs w:val="20"/>
        </w:rPr>
        <w:t>Grupo Sura con inversionistas de sus subordinadas.</w:t>
      </w:r>
    </w:p>
    <w:p w14:paraId="15DCD866" w14:textId="362D2182" w:rsidR="007914AF" w:rsidRPr="003F167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las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cuales, a pesar de que el acuerdo con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RE, en calidad de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minoritario de Suramericana S.A., se suscribió en 2001, apenas ahora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la revisoría fiscal presentó sus salvedades en los estados financieros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de Grupo Sura S.A. del primer semestre de 2022.</w:t>
      </w:r>
    </w:p>
    <w:p w14:paraId="325C38FB" w14:textId="1E0E369E" w:rsidR="007914AF" w:rsidRPr="003F167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cuales, a pesar de que el acuerdo con Grupo Bolívar y sus afiliadas, en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calidad de minoritarias de Sura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Management S.A., se suscribió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en 2011, modificado en el 2013, apenas ahora la revisoría fiscal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presentó sus salvedades en los estados financieros de Grupo Sura S.A.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del primer semestre de 2022.</w:t>
      </w:r>
    </w:p>
    <w:p w14:paraId="24C4CE57" w14:textId="2B8FEBD5" w:rsidR="007914AF" w:rsidRDefault="007914AF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14AF">
        <w:rPr>
          <w:rFonts w:ascii="Arial" w:hAnsi="Arial" w:cs="Arial"/>
          <w:color w:val="000000" w:themeColor="text1"/>
          <w:sz w:val="20"/>
          <w:szCs w:val="20"/>
        </w:rPr>
        <w:t>Informe a la asamblea de accionistas sobre las razones por las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cuales, a pesar de que el acuerdo con CDPQ, en calidad de minoritaria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de Sura </w:t>
      </w:r>
      <w:proofErr w:type="spellStart"/>
      <w:r w:rsidRPr="003F167F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3F167F">
        <w:rPr>
          <w:rFonts w:ascii="Arial" w:hAnsi="Arial" w:cs="Arial"/>
          <w:color w:val="000000" w:themeColor="text1"/>
          <w:sz w:val="20"/>
          <w:szCs w:val="20"/>
        </w:rPr>
        <w:t xml:space="preserve"> Management S.A., se suscribió en 2019, modificado en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el 2022, apenas ahora la revisoría fiscal presentó sus salvedades en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los estados financieros de Grupo Sura S.A. del primer semestre de</w:t>
      </w:r>
      <w:r w:rsidR="003F16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167F">
        <w:rPr>
          <w:rFonts w:ascii="Arial" w:hAnsi="Arial" w:cs="Arial"/>
          <w:color w:val="000000" w:themeColor="text1"/>
          <w:sz w:val="20"/>
          <w:szCs w:val="20"/>
        </w:rPr>
        <w:t>2022.</w:t>
      </w:r>
    </w:p>
    <w:p w14:paraId="44B2EDE9" w14:textId="2FD05B03" w:rsidR="00167A57" w:rsidRPr="002B4DAB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7A57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como</w:t>
      </w:r>
      <w:r w:rsidR="002B4D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4DA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 w:rsidR="002B4D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4DAB">
        <w:rPr>
          <w:rFonts w:ascii="Arial" w:hAnsi="Arial" w:cs="Arial"/>
          <w:color w:val="000000" w:themeColor="text1"/>
          <w:sz w:val="20"/>
          <w:szCs w:val="20"/>
        </w:rPr>
        <w:t xml:space="preserve">2001 con </w:t>
      </w:r>
      <w:proofErr w:type="spellStart"/>
      <w:r w:rsidRPr="002B4DAB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2B4DAB">
        <w:rPr>
          <w:rFonts w:ascii="Arial" w:hAnsi="Arial" w:cs="Arial"/>
          <w:color w:val="000000" w:themeColor="text1"/>
          <w:sz w:val="20"/>
          <w:szCs w:val="20"/>
        </w:rPr>
        <w:t xml:space="preserve"> RE, en calidad de minoritario de Suramericana S.A.</w:t>
      </w:r>
    </w:p>
    <w:p w14:paraId="52CA5176" w14:textId="3FF635E6" w:rsidR="00167A57" w:rsidRPr="00C8543B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como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2011 y modificado en 2013 con Grupo Bolívar y sus afiliadas, en calidad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de minoritarias de Sura </w:t>
      </w:r>
      <w:proofErr w:type="spellStart"/>
      <w:r w:rsidRPr="00C8543B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 Management S.A.</w:t>
      </w:r>
    </w:p>
    <w:p w14:paraId="1A684D0A" w14:textId="2D280DBF" w:rsidR="00167A57" w:rsidRPr="00C8543B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y financiero que podría tener, tanto para el período actual com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para períodos anteriores de Grupo Sura S.A., el acuerdo suscrito en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2019 y modificado en 2022 con CDPQ, en calidad de minoritaria de Sura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8543B">
        <w:rPr>
          <w:rFonts w:ascii="Arial" w:hAnsi="Arial" w:cs="Arial"/>
          <w:color w:val="000000" w:themeColor="text1"/>
          <w:sz w:val="20"/>
          <w:szCs w:val="20"/>
        </w:rPr>
        <w:t>Asset</w:t>
      </w:r>
      <w:proofErr w:type="spellEnd"/>
      <w:r w:rsidRPr="00C8543B">
        <w:rPr>
          <w:rFonts w:ascii="Arial" w:hAnsi="Arial" w:cs="Arial"/>
          <w:color w:val="000000" w:themeColor="text1"/>
          <w:sz w:val="20"/>
          <w:szCs w:val="20"/>
        </w:rPr>
        <w:t xml:space="preserve"> Management S.A.</w:t>
      </w:r>
    </w:p>
    <w:p w14:paraId="56D2F4E7" w14:textId="0B6F0AFC" w:rsidR="00167A57" w:rsidRPr="00C8543B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 que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podría tener, en la situación patrimonial de Grupo Sura S.A., el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NIIF 9 “Instrumentos Financieros”.</w:t>
      </w:r>
    </w:p>
    <w:p w14:paraId="2E7B60C0" w14:textId="10578F3C" w:rsidR="00167A57" w:rsidRPr="00C8543B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 que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podría tener, en la situación patrimonial de Grupo Sura S.A., el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NIC 32 “Presentación de Instrumentos Financieros”.</w:t>
      </w:r>
    </w:p>
    <w:p w14:paraId="70F1CF80" w14:textId="24D18C73" w:rsidR="00167A57" w:rsidRPr="00C8543B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lastRenderedPageBreak/>
        <w:t>Explique a la asamblea de accionistas sobre el posible impacto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que podría tener, en los resultados de Grupo Sura S.A., el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NIIF 9 “Instrumentos Financieros”.</w:t>
      </w:r>
    </w:p>
    <w:p w14:paraId="74D0D9BA" w14:textId="3A3780BA" w:rsidR="00167A57" w:rsidRPr="00C8543B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Explique a la asamblea de accionistas sobre el posible impacto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contable que podría tener, en los resultados de Grupo Sura S.A., el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reconocimiento y medición razonable de estos acuerdos como pasivos,</w:t>
      </w:r>
      <w:r w:rsidR="00C854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bajo NIC 32 “Presentación de Instrumentos Financieros”.</w:t>
      </w:r>
    </w:p>
    <w:p w14:paraId="5EADF104" w14:textId="543B9180" w:rsidR="00167A57" w:rsidRPr="00D723DC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</w:t>
      </w:r>
      <w:r w:rsidR="00D723DC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C8543B">
        <w:rPr>
          <w:rFonts w:ascii="Arial" w:hAnsi="Arial" w:cs="Arial"/>
          <w:color w:val="000000" w:themeColor="text1"/>
          <w:sz w:val="20"/>
          <w:szCs w:val="20"/>
        </w:rPr>
        <w:t>de los Tres Contratos, existe la potencial obligación para Grupo Sura S.A.</w:t>
      </w:r>
      <w:r w:rsidR="00D723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 xml:space="preserve">de pagar una suma de dinero a </w:t>
      </w:r>
      <w:proofErr w:type="spellStart"/>
      <w:r w:rsidRPr="00D723DC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D723DC">
        <w:rPr>
          <w:rFonts w:ascii="Arial" w:hAnsi="Arial" w:cs="Arial"/>
          <w:color w:val="000000" w:themeColor="text1"/>
          <w:sz w:val="20"/>
          <w:szCs w:val="20"/>
        </w:rPr>
        <w:t xml:space="preserve"> Re, Grupo Bolívar y/o CDPQ,</w:t>
      </w:r>
      <w:r w:rsidR="00D723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respectivamente.</w:t>
      </w:r>
    </w:p>
    <w:p w14:paraId="3B36A3CC" w14:textId="5FD8A944" w:rsidR="00167A57" w:rsidRPr="00D723DC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 accionistas</w:t>
      </w:r>
      <w:r w:rsidR="00D723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el monto de cada uno de dichos pagos y, en caso de no conocerlo, cómo</w:t>
      </w:r>
      <w:r w:rsidR="00D723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se determina el monto a ser pagado por Grupo Sura, respectivamente</w:t>
      </w:r>
      <w:r w:rsidR="00D723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23DC">
        <w:rPr>
          <w:rFonts w:ascii="Arial" w:hAnsi="Arial" w:cs="Arial"/>
          <w:color w:val="000000" w:themeColor="text1"/>
          <w:sz w:val="20"/>
          <w:szCs w:val="20"/>
        </w:rPr>
        <w:t>conforme a los términos de cada uno de los Tres Contratos.</w:t>
      </w:r>
    </w:p>
    <w:p w14:paraId="78AF4CD5" w14:textId="3DF8E7F8" w:rsidR="00167A57" w:rsidRPr="006C2540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uno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de los Tres Contratos, existe la potencial obligación para Grupo Sura S.A.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 xml:space="preserve">de reconocer un pasivo a favor de </w:t>
      </w:r>
      <w:proofErr w:type="spellStart"/>
      <w:r w:rsidRPr="006C2540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6C2540">
        <w:rPr>
          <w:rFonts w:ascii="Arial" w:hAnsi="Arial" w:cs="Arial"/>
          <w:color w:val="000000" w:themeColor="text1"/>
          <w:sz w:val="20"/>
          <w:szCs w:val="20"/>
        </w:rPr>
        <w:t xml:space="preserve"> Re, Grupo Bolívar y/o CDPQ,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respectivamente.</w:t>
      </w:r>
    </w:p>
    <w:p w14:paraId="02541EFF" w14:textId="5FD8A0EC" w:rsidR="00167A57" w:rsidRPr="006C2540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accionistas el monto de cada uno de dichos pasivos y, en caso de n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conocerlo, cómo se determina el monto de cada pasivo,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 conforme a los términos de cada uno de los Tres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Contratos.</w:t>
      </w:r>
    </w:p>
    <w:p w14:paraId="327C2FBA" w14:textId="1A6B3004" w:rsidR="00167A57" w:rsidRPr="006C2540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en los términos de cada uno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de los Tres Contratos, existe la posibilidad de que los accionistas de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Grupo Sura S.A. sean diluidos en su participación en el capital social de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la Sociedad, respectivamente.</w:t>
      </w:r>
    </w:p>
    <w:p w14:paraId="762D839C" w14:textId="447963FB" w:rsidR="00167A57" w:rsidRPr="006C2540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Conforme la respuesta anterior, informe a la asamblea de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accionistas el porcentaje en que podrían ser diluidos los accionistas, y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en caso de no conocerlo, cómo se determina dicha dilución,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respectivamente conforme a los términos de cada uno de los Tres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Contratos.</w:t>
      </w:r>
    </w:p>
    <w:p w14:paraId="041404DD" w14:textId="0DC0B4DE" w:rsidR="00167A57" w:rsidRPr="006C2540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Respecto de cada uno de los Tres Contratos, por favor informe a la</w:t>
      </w:r>
      <w:r w:rsidR="006C25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asamblea de accionistas, si la información relacionada con dichos</w:t>
      </w:r>
      <w:r w:rsidR="00AD48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contratos reviste materialidad para los estados financieros de Grupo</w:t>
      </w:r>
      <w:r w:rsidR="00AD48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C2540">
        <w:rPr>
          <w:rFonts w:ascii="Arial" w:hAnsi="Arial" w:cs="Arial"/>
          <w:color w:val="000000" w:themeColor="text1"/>
          <w:sz w:val="20"/>
          <w:szCs w:val="20"/>
        </w:rPr>
        <w:t>Sura S.A.</w:t>
      </w:r>
    </w:p>
    <w:p w14:paraId="3FCD9598" w14:textId="07244CEE" w:rsidR="00167A57" w:rsidRPr="00AD4836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accionistas, si Grupo Sura S.A. ha ofrecido</w:t>
      </w:r>
      <w:r w:rsidR="00AD48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y emitido bonos locales e internacionales. Por favor informe los años en</w:t>
      </w:r>
      <w:r w:rsidR="00AD48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que se emitieron y si dichas emisiones se encuentran vigentes.</w:t>
      </w:r>
    </w:p>
    <w:p w14:paraId="1B9D96F7" w14:textId="2BBF7F4D" w:rsidR="00167A57" w:rsidRPr="00BC4B26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Respecto de su respuesta anterior, favor informe a la asamblea de</w:t>
      </w:r>
      <w:r w:rsidR="00AD48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accionistas si Grupo Sura S.A. incluyó dentro de la información</w:t>
      </w:r>
      <w:r w:rsidR="00AD48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D4836">
        <w:rPr>
          <w:rFonts w:ascii="Arial" w:hAnsi="Arial" w:cs="Arial"/>
          <w:color w:val="000000" w:themeColor="text1"/>
          <w:sz w:val="20"/>
          <w:szCs w:val="20"/>
        </w:rPr>
        <w:t>financiera de la oferta y emisión de los bonos, información relacionada</w:t>
      </w:r>
      <w:r w:rsidR="00BC4B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con los Tres Contratos.</w:t>
      </w:r>
    </w:p>
    <w:p w14:paraId="2DE2395C" w14:textId="129CE882" w:rsidR="00BC4B26" w:rsidRPr="00BC4B26" w:rsidRDefault="00167A57" w:rsidP="00A71000">
      <w:pPr>
        <w:pStyle w:val="NormalWeb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A57">
        <w:rPr>
          <w:rFonts w:ascii="Arial" w:hAnsi="Arial" w:cs="Arial"/>
          <w:color w:val="000000" w:themeColor="text1"/>
          <w:sz w:val="20"/>
          <w:szCs w:val="20"/>
        </w:rPr>
        <w:t>Informe a la asamblea de accionistas sobre la posible existencia o no</w:t>
      </w:r>
      <w:r w:rsidR="00BC4B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de otros acuerdos similares a los Tres Contratos suscritos por Grupo</w:t>
      </w:r>
      <w:r w:rsidR="00BC4B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Sura S.A., con otros inversionistas de sus compañías subordinadas, que</w:t>
      </w:r>
      <w:r w:rsidR="00BC4B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4B26">
        <w:rPr>
          <w:rFonts w:ascii="Arial" w:hAnsi="Arial" w:cs="Arial"/>
          <w:color w:val="000000" w:themeColor="text1"/>
          <w:sz w:val="20"/>
          <w:szCs w:val="20"/>
        </w:rPr>
        <w:t>no hayan sido revelados oportunamente.</w:t>
      </w:r>
    </w:p>
    <w:p w14:paraId="5F949346" w14:textId="42A41394" w:rsidR="003F167F" w:rsidRPr="00167A57" w:rsidRDefault="00D51D43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>Explicaciones de la administración acerca de las salvedades vertidas en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su Informe de revisión de información financiera intermedia, suscrito el 12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de agosto de 2022.</w:t>
      </w:r>
    </w:p>
    <w:p w14:paraId="7A2BAD7C" w14:textId="46CB2648" w:rsidR="00D51D43" w:rsidRPr="004E4D2A" w:rsidRDefault="00D51D43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>Preguntas de los accionistas a la revisoría fiscal y a la administración de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Grupo Sura S.A. en relación con la información, explicaciones y respuestas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suministradas en las preguntas anteriores.</w:t>
      </w:r>
    </w:p>
    <w:p w14:paraId="34056EEC" w14:textId="61773EAB" w:rsidR="00D51D43" w:rsidRPr="004E4D2A" w:rsidRDefault="00D51D43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4D2A">
        <w:rPr>
          <w:rFonts w:ascii="Arial" w:hAnsi="Arial" w:cs="Arial"/>
          <w:color w:val="000000" w:themeColor="text1"/>
          <w:sz w:val="20"/>
          <w:szCs w:val="20"/>
        </w:rPr>
        <w:t>Decisión, por parte de la Asamblea General de Accionistas, en ejercicio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de sus facultades legales y estatutarias, de ordenar a la Junta Directiva de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la Sociedad para que en los próximos 30 días calendario designe y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contrate a Deloitte, PricewaterhouseCoopers y/o KPMG como auditor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externo para (i) adelantar una revisión exhaustiva del impacto contable y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financiero que pueden tener, para Grupo Sura S.A., los acuerdos suscritos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 xml:space="preserve">con Grupo Bolívar, </w:t>
      </w:r>
      <w:proofErr w:type="spellStart"/>
      <w:r w:rsidRPr="004E4D2A">
        <w:rPr>
          <w:rFonts w:ascii="Arial" w:hAnsi="Arial" w:cs="Arial"/>
          <w:color w:val="000000" w:themeColor="text1"/>
          <w:sz w:val="20"/>
          <w:szCs w:val="20"/>
        </w:rPr>
        <w:t>Munich</w:t>
      </w:r>
      <w:proofErr w:type="spellEnd"/>
      <w:r w:rsidRPr="004E4D2A">
        <w:rPr>
          <w:rFonts w:ascii="Arial" w:hAnsi="Arial" w:cs="Arial"/>
          <w:color w:val="000000" w:themeColor="text1"/>
          <w:sz w:val="20"/>
          <w:szCs w:val="20"/>
        </w:rPr>
        <w:t xml:space="preserve"> RE y CDPQ, así como para (</w:t>
      </w:r>
      <w:proofErr w:type="spellStart"/>
      <w:r w:rsidRPr="004E4D2A">
        <w:rPr>
          <w:rFonts w:ascii="Arial" w:hAnsi="Arial" w:cs="Arial"/>
          <w:color w:val="000000" w:themeColor="text1"/>
          <w:sz w:val="20"/>
          <w:szCs w:val="20"/>
        </w:rPr>
        <w:t>ii</w:t>
      </w:r>
      <w:proofErr w:type="spellEnd"/>
      <w:r w:rsidRPr="004E4D2A">
        <w:rPr>
          <w:rFonts w:ascii="Arial" w:hAnsi="Arial" w:cs="Arial"/>
          <w:color w:val="000000" w:themeColor="text1"/>
          <w:sz w:val="20"/>
          <w:szCs w:val="20"/>
        </w:rPr>
        <w:t>) identificar la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posible existencia de otros acuerdos o contratos similares, suscritos por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Grupo Sura S.A. que no hayan sido revelados adecuada y oportunamente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en los Estados Financieros de la sociedad durante los últimos veinte (20)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años. El informe de auditoría deberá ser presentado por el auditor a la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asamblea de accionistas de Grupo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Sura S.A. en una reunión que sea</w:t>
      </w:r>
      <w:r w:rsidR="007A1954" w:rsidRPr="004E4D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convocada para dicho efecto.</w:t>
      </w:r>
    </w:p>
    <w:p w14:paraId="58C5051F" w14:textId="77777777" w:rsidR="00EC4415" w:rsidRPr="007F2070" w:rsidRDefault="00EC4415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BE129A3" w14:textId="77777777" w:rsidR="00BC4B26" w:rsidRDefault="00BC4B26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8E5D850" w14:textId="289088E9" w:rsidR="00BB0C59" w:rsidRPr="007F2070" w:rsidRDefault="008E109C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7F2070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7F2070">
        <w:rPr>
          <w:rFonts w:cs="Arial"/>
          <w:color w:val="000000" w:themeColor="text1"/>
          <w:sz w:val="20"/>
        </w:rPr>
        <w:t xml:space="preserve">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180727A3" w:rsidR="00BB0C59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5884E63" w14:textId="77777777" w:rsidR="00BC4B26" w:rsidRPr="007F2070" w:rsidRDefault="00BC4B26" w:rsidP="00A71000">
      <w:pPr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Pr="007F2070" w:rsidRDefault="00EC4415" w:rsidP="00A71000">
      <w:pPr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  <w:r w:rsidRPr="007F2070">
        <w:rPr>
          <w:rFonts w:ascii="Arial" w:hAnsi="Arial" w:cs="Arial"/>
          <w:snapToGrid w:val="0"/>
          <w:color w:val="000000" w:themeColor="text1"/>
        </w:rPr>
        <w:lastRenderedPageBreak/>
        <w:t>Atentamente,</w:t>
      </w:r>
    </w:p>
    <w:p w14:paraId="3715125D" w14:textId="77777777" w:rsidR="004E4D2A" w:rsidRDefault="004E4D2A" w:rsidP="00A71000">
      <w:pPr>
        <w:pStyle w:val="Ttulo2"/>
        <w:rPr>
          <w:rFonts w:cs="Arial"/>
          <w:bCs w:val="0"/>
          <w:color w:val="000000" w:themeColor="text1"/>
          <w:sz w:val="20"/>
        </w:rPr>
      </w:pPr>
    </w:p>
    <w:p w14:paraId="1180AE87" w14:textId="36BE216D" w:rsidR="00BB0C59" w:rsidRPr="007F2070" w:rsidRDefault="00BB0C59" w:rsidP="00A71000">
      <w:pPr>
        <w:pStyle w:val="Ttulo2"/>
        <w:rPr>
          <w:rFonts w:cs="Arial"/>
          <w:bCs w:val="0"/>
          <w:color w:val="000000" w:themeColor="text1"/>
          <w:sz w:val="20"/>
        </w:rPr>
      </w:pPr>
      <w:r w:rsidRPr="007F2070">
        <w:rPr>
          <w:rFonts w:cs="Arial"/>
          <w:bCs w:val="0"/>
          <w:color w:val="000000" w:themeColor="text1"/>
          <w:sz w:val="20"/>
        </w:rPr>
        <w:t>Nombre de</w:t>
      </w:r>
      <w:r w:rsidR="00743CF2" w:rsidRPr="007F2070">
        <w:rPr>
          <w:rFonts w:cs="Arial"/>
          <w:bCs w:val="0"/>
          <w:color w:val="000000" w:themeColor="text1"/>
          <w:sz w:val="20"/>
        </w:rPr>
        <w:t>l Padre</w:t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7F2070" w:rsidRDefault="00BB0C59" w:rsidP="00A71000">
      <w:pPr>
        <w:pStyle w:val="Ttulo2"/>
        <w:rPr>
          <w:rFonts w:cs="Arial"/>
          <w:color w:val="000000" w:themeColor="text1"/>
          <w:sz w:val="20"/>
        </w:rPr>
      </w:pPr>
      <w:r w:rsidRPr="007F2070">
        <w:rPr>
          <w:rFonts w:cs="Arial"/>
          <w:color w:val="000000" w:themeColor="text1"/>
          <w:sz w:val="20"/>
        </w:rPr>
        <w:t xml:space="preserve">C.C. </w:t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7F2070" w:rsidRDefault="00BB0C59" w:rsidP="00A71000">
      <w:pPr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7F2070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las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7F2070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3059A"/>
    <w:rsid w:val="0013708F"/>
    <w:rsid w:val="00165ABA"/>
    <w:rsid w:val="00167A57"/>
    <w:rsid w:val="001B287E"/>
    <w:rsid w:val="002143E6"/>
    <w:rsid w:val="002A78AA"/>
    <w:rsid w:val="002B4DAB"/>
    <w:rsid w:val="00397AA5"/>
    <w:rsid w:val="003E40DD"/>
    <w:rsid w:val="003F167F"/>
    <w:rsid w:val="0046327A"/>
    <w:rsid w:val="004E46F7"/>
    <w:rsid w:val="004E4D2A"/>
    <w:rsid w:val="0054667B"/>
    <w:rsid w:val="0056243C"/>
    <w:rsid w:val="0058759C"/>
    <w:rsid w:val="005D2230"/>
    <w:rsid w:val="00607617"/>
    <w:rsid w:val="00687521"/>
    <w:rsid w:val="006A4387"/>
    <w:rsid w:val="006C2540"/>
    <w:rsid w:val="006D0859"/>
    <w:rsid w:val="007020FD"/>
    <w:rsid w:val="00743CF2"/>
    <w:rsid w:val="007914AF"/>
    <w:rsid w:val="0079744D"/>
    <w:rsid w:val="007A1954"/>
    <w:rsid w:val="007F2070"/>
    <w:rsid w:val="008477EE"/>
    <w:rsid w:val="00857D6A"/>
    <w:rsid w:val="00860189"/>
    <w:rsid w:val="00883E60"/>
    <w:rsid w:val="0089782C"/>
    <w:rsid w:val="008C0C36"/>
    <w:rsid w:val="008E109C"/>
    <w:rsid w:val="009310EC"/>
    <w:rsid w:val="00A05E84"/>
    <w:rsid w:val="00A529D5"/>
    <w:rsid w:val="00A71000"/>
    <w:rsid w:val="00AD4836"/>
    <w:rsid w:val="00AD598B"/>
    <w:rsid w:val="00BB0C59"/>
    <w:rsid w:val="00BC4B26"/>
    <w:rsid w:val="00C02E89"/>
    <w:rsid w:val="00C8543B"/>
    <w:rsid w:val="00CC7D08"/>
    <w:rsid w:val="00CF07F2"/>
    <w:rsid w:val="00CF0E58"/>
    <w:rsid w:val="00D51D43"/>
    <w:rsid w:val="00D723DC"/>
    <w:rsid w:val="00DC0B89"/>
    <w:rsid w:val="00DD3633"/>
    <w:rsid w:val="00E61AE8"/>
    <w:rsid w:val="00E65DF3"/>
    <w:rsid w:val="00E774A5"/>
    <w:rsid w:val="00EB102B"/>
    <w:rsid w:val="00EC4415"/>
    <w:rsid w:val="00EE0B40"/>
    <w:rsid w:val="00EE3672"/>
    <w:rsid w:val="00EE4469"/>
    <w:rsid w:val="00F30D2C"/>
    <w:rsid w:val="00F60ABF"/>
    <w:rsid w:val="00F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1957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Sofia Bran Rua</cp:lastModifiedBy>
  <cp:revision>31</cp:revision>
  <dcterms:created xsi:type="dcterms:W3CDTF">2022-06-23T17:30:00Z</dcterms:created>
  <dcterms:modified xsi:type="dcterms:W3CDTF">2022-08-18T21:25:00Z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